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B10710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More Hardy Weinberg Practice Problems</w:t>
      </w:r>
    </w:p>
    <w:p w:rsidR="00D05747" w:rsidRDefault="00DB06DB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478B2" w:rsidRPr="00C53169" w:rsidRDefault="00B478B2" w:rsidP="00B478B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Calculations: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Determine the correct value for each scenario given below.  Show all your work, and use the fo</w:t>
      </w:r>
      <w:r w:rsidR="00DB06D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llowing equations to help you.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070"/>
      </w:tblGrid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Allele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+ q = 1</w:t>
            </w:r>
          </w:p>
        </w:tc>
      </w:tr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+ 2pq + 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</w:tr>
    </w:tbl>
    <w:p w:rsidR="00B478B2" w:rsidRPr="00C53169" w:rsidRDefault="00B478B2" w:rsidP="00B478B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 xml:space="preserve">A very large population of randomly-mating laboratory mice contains 25% white mice. White coloring is caused by the double recessive genotype, "aa".  Calculate the frequency of the dominant allele. 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174EE1" w:rsidP="00174EE1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Given: 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0.25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Find: p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Calculations: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0.25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q = 0.5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p + q = 1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p = 1-q = 1-0.5 = </w:t>
      </w:r>
      <w:r w:rsidRPr="00174EE1">
        <w:rPr>
          <w:rFonts w:ascii="Arial" w:hAnsi="Arial" w:cs="Arial"/>
          <w:b/>
          <w:color w:val="FF0000"/>
          <w:sz w:val="20"/>
          <w:szCs w:val="20"/>
        </w:rPr>
        <w:t>0.5</w:t>
      </w:r>
    </w:p>
    <w:p w:rsidR="00B10710" w:rsidRP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>The allele for a widow's peak (hairline) is dominant over the allele for a straight hairline. In a population of 500 individuals, 9% show the recessive phenotype. How many individuals would you expect to be heterozygous for the trait?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Given: 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>0.09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Find: 2pq x 500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Calculations: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0.09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q = 0.3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p + q = 1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p = 1-q = 1-</w:t>
      </w:r>
      <w:r>
        <w:rPr>
          <w:rFonts w:ascii="Arial" w:hAnsi="Arial" w:cs="Arial"/>
          <w:color w:val="FF0000"/>
          <w:sz w:val="20"/>
          <w:szCs w:val="20"/>
        </w:rPr>
        <w:t>0.3 = 0.7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P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2pq x 500 = [(2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)(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0.7)(0.3) x 500] = </w:t>
      </w:r>
      <w:r w:rsidRPr="00174EE1">
        <w:rPr>
          <w:rFonts w:ascii="Arial" w:hAnsi="Arial" w:cs="Arial"/>
          <w:b/>
          <w:color w:val="FF0000"/>
          <w:sz w:val="20"/>
          <w:szCs w:val="20"/>
        </w:rPr>
        <w:t>210 individuals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EE1" w:rsidRPr="00B10710" w:rsidRDefault="00174EE1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>Let’s say that brown fur coloring is dominant to gray fur coloring in mice. If you have 168 brown mice in a population of 200 mice then what is the frequency of the homozygous recessive genotype.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Given: p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+ 2pq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 xml:space="preserve">168/200… but we can’t use this. However, if there are 168 mice with the dominant phenotype out of 200, that means there are 32 mice with the recessive phenotype (i.e. 200-168 = 32). </w:t>
      </w:r>
    </w:p>
    <w:p w:rsidR="00174EE1" w:rsidRDefault="00174EE1" w:rsidP="00174EE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174EE1" w:rsidRPr="00174EE1" w:rsidRDefault="00174EE1" w:rsidP="00174EE1">
      <w:pPr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So… 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32/200 = 0.16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Find: 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B10710" w:rsidRDefault="00174EE1" w:rsidP="00B10710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Calculations: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P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Oh 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my gosh</w:t>
      </w:r>
      <w:proofErr w:type="gramEnd"/>
      <w:r>
        <w:rPr>
          <w:rFonts w:ascii="Arial" w:hAnsi="Arial" w:cs="Arial"/>
          <w:color w:val="FF0000"/>
          <w:sz w:val="20"/>
          <w:szCs w:val="20"/>
        </w:rPr>
        <w:t>, we already found 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while identifying our given information!  Hooray!  </w:t>
      </w:r>
      <w:r w:rsidRPr="00174EE1">
        <w:rPr>
          <w:rFonts w:ascii="Arial" w:hAnsi="Arial" w:cs="Arial"/>
          <w:color w:val="FF0000"/>
          <w:sz w:val="20"/>
          <w:szCs w:val="20"/>
        </w:rPr>
        <w:t>q</w:t>
      </w:r>
      <w:r w:rsidRPr="00174EE1">
        <w:rPr>
          <w:rFonts w:ascii="Arial" w:hAnsi="Arial" w:cs="Arial"/>
          <w:color w:val="FF0000"/>
          <w:sz w:val="20"/>
          <w:szCs w:val="20"/>
          <w:vertAlign w:val="superscript"/>
        </w:rPr>
        <w:t xml:space="preserve">2 </w:t>
      </w:r>
      <w:r w:rsidRPr="00174EE1">
        <w:rPr>
          <w:rFonts w:ascii="Arial" w:hAnsi="Arial" w:cs="Arial"/>
          <w:color w:val="FF0000"/>
          <w:sz w:val="20"/>
          <w:szCs w:val="20"/>
        </w:rPr>
        <w:t>=</w:t>
      </w:r>
      <w:r w:rsidRPr="00174EE1">
        <w:rPr>
          <w:rFonts w:ascii="Arial" w:hAnsi="Arial" w:cs="Arial"/>
          <w:b/>
          <w:color w:val="FF0000"/>
          <w:sz w:val="20"/>
          <w:szCs w:val="20"/>
        </w:rPr>
        <w:t xml:space="preserve"> 0.16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P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lastRenderedPageBreak/>
        <w:t>A rather large population of Doodle bugs 396 red-sided individuals and 557 tan-sided individuals. Assume that red is totally recessive. How many individuals have a homozygous dominant genotype?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Given: 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>396/(396+557) = 396/953= 0.416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Find: </w:t>
      </w:r>
      <w:r>
        <w:rPr>
          <w:rFonts w:ascii="Arial" w:hAnsi="Arial" w:cs="Arial"/>
          <w:color w:val="FF0000"/>
          <w:sz w:val="20"/>
          <w:szCs w:val="20"/>
        </w:rPr>
        <w:t>p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x 953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Calculations: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>0.416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q = 0.</w:t>
      </w:r>
      <w:r>
        <w:rPr>
          <w:rFonts w:ascii="Arial" w:hAnsi="Arial" w:cs="Arial"/>
          <w:color w:val="FF0000"/>
          <w:sz w:val="20"/>
          <w:szCs w:val="20"/>
        </w:rPr>
        <w:t>645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p + q = 1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p = 1-q = 1-</w:t>
      </w:r>
      <w:r>
        <w:rPr>
          <w:rFonts w:ascii="Arial" w:hAnsi="Arial" w:cs="Arial"/>
          <w:color w:val="FF0000"/>
          <w:sz w:val="20"/>
          <w:szCs w:val="20"/>
        </w:rPr>
        <w:t>0.645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 w:rsidRPr="00174EE1">
        <w:rPr>
          <w:rFonts w:ascii="Arial" w:hAnsi="Arial" w:cs="Arial"/>
          <w:color w:val="FF0000"/>
          <w:sz w:val="20"/>
          <w:szCs w:val="20"/>
        </w:rPr>
        <w:t>0.</w:t>
      </w:r>
      <w:r w:rsidRPr="00174EE1">
        <w:rPr>
          <w:rFonts w:ascii="Arial" w:hAnsi="Arial" w:cs="Arial"/>
          <w:color w:val="FF0000"/>
          <w:sz w:val="20"/>
          <w:szCs w:val="20"/>
        </w:rPr>
        <w:t>355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P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color w:val="FF0000"/>
          <w:sz w:val="20"/>
          <w:szCs w:val="20"/>
        </w:rPr>
        <w:t>p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 x 953 = [(0.355)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x 953] = </w:t>
      </w:r>
      <w:r w:rsidRPr="00174EE1">
        <w:rPr>
          <w:rFonts w:ascii="Arial" w:hAnsi="Arial" w:cs="Arial"/>
          <w:b/>
          <w:color w:val="FF0000"/>
          <w:sz w:val="20"/>
          <w:szCs w:val="20"/>
        </w:rPr>
        <w:t>120 individuals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Pr="00B10710" w:rsidRDefault="00174EE1" w:rsidP="00B1071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E13A3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10710">
        <w:rPr>
          <w:rFonts w:ascii="Arial" w:hAnsi="Arial" w:cs="Arial"/>
          <w:sz w:val="20"/>
          <w:szCs w:val="20"/>
        </w:rPr>
        <w:t>Pangorian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trait which results from simple Mendelian inheritance is antenna shape. Corkscrew antennae (A) are dominant over straight antennae (a). When the entire </w:t>
      </w:r>
      <w:proofErr w:type="spellStart"/>
      <w:r w:rsidRPr="00B10710">
        <w:rPr>
          <w:rFonts w:ascii="Arial" w:hAnsi="Arial" w:cs="Arial"/>
          <w:sz w:val="20"/>
          <w:szCs w:val="20"/>
        </w:rPr>
        <w:t>Pangorian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population was screened (all 9,904 of them),</w:t>
      </w:r>
      <w:r w:rsidR="00174EE1">
        <w:rPr>
          <w:rFonts w:ascii="Arial" w:hAnsi="Arial" w:cs="Arial"/>
          <w:sz w:val="20"/>
          <w:szCs w:val="20"/>
        </w:rPr>
        <w:t xml:space="preserve"> </w:t>
      </w:r>
      <w:r w:rsidRPr="00B10710">
        <w:rPr>
          <w:rFonts w:ascii="Arial" w:hAnsi="Arial" w:cs="Arial"/>
          <w:sz w:val="20"/>
          <w:szCs w:val="20"/>
        </w:rPr>
        <w:t>3,565 had corkscrew, while the rest had straight antennae.  What is the frequency of the dominant allele?</w:t>
      </w:r>
    </w:p>
    <w:p w:rsidR="00174EE1" w:rsidRDefault="00174EE1" w:rsidP="00174E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Given: p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color w:val="FF0000"/>
          <w:sz w:val="20"/>
          <w:szCs w:val="20"/>
        </w:rPr>
        <w:t xml:space="preserve">+ 2pq = </w:t>
      </w:r>
      <w:r>
        <w:rPr>
          <w:rFonts w:ascii="Arial" w:hAnsi="Arial" w:cs="Arial"/>
          <w:color w:val="FF0000"/>
          <w:sz w:val="20"/>
          <w:szCs w:val="20"/>
        </w:rPr>
        <w:t>3565/9904…</w:t>
      </w:r>
      <w:r>
        <w:rPr>
          <w:rFonts w:ascii="Arial" w:hAnsi="Arial" w:cs="Arial"/>
          <w:color w:val="FF0000"/>
          <w:sz w:val="20"/>
          <w:szCs w:val="20"/>
        </w:rPr>
        <w:t xml:space="preserve">but we can’t use this. However, if there are </w:t>
      </w:r>
      <w:r>
        <w:rPr>
          <w:rFonts w:ascii="Arial" w:hAnsi="Arial" w:cs="Arial"/>
          <w:color w:val="FF0000"/>
          <w:sz w:val="20"/>
          <w:szCs w:val="20"/>
        </w:rPr>
        <w:t xml:space="preserve">3565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Pangorians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with the dominant phenotype out of </w:t>
      </w:r>
      <w:r>
        <w:rPr>
          <w:rFonts w:ascii="Arial" w:hAnsi="Arial" w:cs="Arial"/>
          <w:color w:val="FF0000"/>
          <w:sz w:val="20"/>
          <w:szCs w:val="20"/>
        </w:rPr>
        <w:t>9904</w:t>
      </w:r>
      <w:r>
        <w:rPr>
          <w:rFonts w:ascii="Arial" w:hAnsi="Arial" w:cs="Arial"/>
          <w:color w:val="FF0000"/>
          <w:sz w:val="20"/>
          <w:szCs w:val="20"/>
        </w:rPr>
        <w:t xml:space="preserve">, that means there are </w:t>
      </w:r>
      <w:r>
        <w:rPr>
          <w:rFonts w:ascii="Arial" w:hAnsi="Arial" w:cs="Arial"/>
          <w:color w:val="FF0000"/>
          <w:sz w:val="20"/>
          <w:szCs w:val="20"/>
        </w:rPr>
        <w:t>6339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Pangorians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with the recessive phenotype (i.e. </w:t>
      </w:r>
      <w:r>
        <w:rPr>
          <w:rFonts w:ascii="Arial" w:hAnsi="Arial" w:cs="Arial"/>
          <w:color w:val="FF0000"/>
          <w:sz w:val="20"/>
          <w:szCs w:val="20"/>
        </w:rPr>
        <w:t>9904-3565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 xml:space="preserve">6339). 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P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 w:rsidRPr="00174EE1">
        <w:rPr>
          <w:rFonts w:ascii="Arial" w:hAnsi="Arial" w:cs="Arial"/>
          <w:color w:val="FF0000"/>
          <w:sz w:val="20"/>
          <w:szCs w:val="20"/>
        </w:rPr>
        <w:t>So… q</w:t>
      </w:r>
      <w:r w:rsidRPr="00174EE1"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 w:rsidRPr="00174EE1"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>6339/9904</w:t>
      </w:r>
      <w:r w:rsidRPr="00174EE1">
        <w:rPr>
          <w:rFonts w:ascii="Arial" w:hAnsi="Arial" w:cs="Arial"/>
          <w:color w:val="FF0000"/>
          <w:sz w:val="20"/>
          <w:szCs w:val="20"/>
        </w:rPr>
        <w:t xml:space="preserve"> = 0.</w:t>
      </w:r>
      <w:r>
        <w:rPr>
          <w:rFonts w:ascii="Arial" w:hAnsi="Arial" w:cs="Arial"/>
          <w:color w:val="FF0000"/>
          <w:sz w:val="20"/>
          <w:szCs w:val="20"/>
        </w:rPr>
        <w:t>64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Find: p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Calculations:</w:t>
      </w:r>
    </w:p>
    <w:p w:rsidR="00174EE1" w:rsidRPr="00174EE1" w:rsidRDefault="00174EE1" w:rsidP="00174EE1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q</w:t>
      </w:r>
      <w:r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color w:val="FF0000"/>
          <w:sz w:val="20"/>
          <w:szCs w:val="20"/>
        </w:rPr>
        <w:t>0.64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q = </w:t>
      </w:r>
      <w:r>
        <w:rPr>
          <w:rFonts w:ascii="Arial" w:hAnsi="Arial" w:cs="Arial"/>
          <w:color w:val="FF0000"/>
          <w:sz w:val="20"/>
          <w:szCs w:val="20"/>
        </w:rPr>
        <w:t>0.8</w:t>
      </w: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:rsidR="00174EE1" w:rsidRDefault="00174EE1" w:rsidP="00174EE1">
      <w:pPr>
        <w:pStyle w:val="ListParagraph"/>
        <w:spacing w:after="0" w:line="240" w:lineRule="auto"/>
        <w:ind w:left="108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p + q = 1 </w:t>
      </w:r>
      <w:r w:rsidRPr="00174EE1">
        <w:rPr>
          <w:rFonts w:ascii="Arial" w:hAnsi="Arial" w:cs="Arial"/>
          <w:color w:val="FF0000"/>
          <w:sz w:val="20"/>
          <w:szCs w:val="20"/>
        </w:rPr>
        <w:sym w:font="Wingdings" w:char="F0E0"/>
      </w:r>
      <w:r>
        <w:rPr>
          <w:rFonts w:ascii="Arial" w:hAnsi="Arial" w:cs="Arial"/>
          <w:color w:val="FF0000"/>
          <w:sz w:val="20"/>
          <w:szCs w:val="20"/>
        </w:rPr>
        <w:t xml:space="preserve"> p = 1-q = 1-</w:t>
      </w:r>
      <w:r>
        <w:rPr>
          <w:rFonts w:ascii="Arial" w:hAnsi="Arial" w:cs="Arial"/>
          <w:color w:val="FF0000"/>
          <w:sz w:val="20"/>
          <w:szCs w:val="20"/>
        </w:rPr>
        <w:t>0.8</w:t>
      </w:r>
      <w:r>
        <w:rPr>
          <w:rFonts w:ascii="Arial" w:hAnsi="Arial" w:cs="Arial"/>
          <w:color w:val="FF0000"/>
          <w:sz w:val="20"/>
          <w:szCs w:val="20"/>
        </w:rPr>
        <w:t xml:space="preserve"> = </w:t>
      </w:r>
      <w:r>
        <w:rPr>
          <w:rFonts w:ascii="Arial" w:hAnsi="Arial" w:cs="Arial"/>
          <w:b/>
          <w:color w:val="FF0000"/>
          <w:sz w:val="20"/>
          <w:szCs w:val="20"/>
        </w:rPr>
        <w:t>0.2</w:t>
      </w:r>
    </w:p>
    <w:p w:rsidR="00174EE1" w:rsidRPr="00174EE1" w:rsidRDefault="00174EE1" w:rsidP="00174EE1">
      <w:pPr>
        <w:spacing w:after="0" w:line="240" w:lineRule="auto"/>
        <w:ind w:left="720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sectPr w:rsidR="00174EE1" w:rsidRPr="00174EE1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B773D"/>
    <w:multiLevelType w:val="hybridMultilevel"/>
    <w:tmpl w:val="1CFA25BC"/>
    <w:lvl w:ilvl="0" w:tplc="AE709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95985"/>
    <w:multiLevelType w:val="hybridMultilevel"/>
    <w:tmpl w:val="1CFA25BC"/>
    <w:lvl w:ilvl="0" w:tplc="AE709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30170"/>
    <w:multiLevelType w:val="hybridMultilevel"/>
    <w:tmpl w:val="1CFA25BC"/>
    <w:lvl w:ilvl="0" w:tplc="AE709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14AC4"/>
    <w:multiLevelType w:val="hybridMultilevel"/>
    <w:tmpl w:val="1868BCAA"/>
    <w:lvl w:ilvl="0" w:tplc="3F1EE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02D63"/>
    <w:multiLevelType w:val="hybridMultilevel"/>
    <w:tmpl w:val="1CFA25BC"/>
    <w:lvl w:ilvl="0" w:tplc="AE709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6139D"/>
    <w:multiLevelType w:val="hybridMultilevel"/>
    <w:tmpl w:val="D4346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00F5B"/>
    <w:multiLevelType w:val="hybridMultilevel"/>
    <w:tmpl w:val="1CFA25BC"/>
    <w:lvl w:ilvl="0" w:tplc="AE709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8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208A9"/>
    <w:rsid w:val="00174EE1"/>
    <w:rsid w:val="001A27AC"/>
    <w:rsid w:val="002249C0"/>
    <w:rsid w:val="002502A7"/>
    <w:rsid w:val="00294DB9"/>
    <w:rsid w:val="002D39CA"/>
    <w:rsid w:val="002E13A3"/>
    <w:rsid w:val="004849FE"/>
    <w:rsid w:val="005B1DD1"/>
    <w:rsid w:val="005C281E"/>
    <w:rsid w:val="00666AE8"/>
    <w:rsid w:val="00762440"/>
    <w:rsid w:val="00796F2D"/>
    <w:rsid w:val="00982BE2"/>
    <w:rsid w:val="00AB0589"/>
    <w:rsid w:val="00AC4FBC"/>
    <w:rsid w:val="00B079A7"/>
    <w:rsid w:val="00B10710"/>
    <w:rsid w:val="00B478B2"/>
    <w:rsid w:val="00B62DA8"/>
    <w:rsid w:val="00B865B7"/>
    <w:rsid w:val="00BB4D2C"/>
    <w:rsid w:val="00BF3BA2"/>
    <w:rsid w:val="00D05747"/>
    <w:rsid w:val="00D15BBD"/>
    <w:rsid w:val="00D85623"/>
    <w:rsid w:val="00DB06DB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cp:lastPrinted>2015-09-14T12:38:00Z</cp:lastPrinted>
  <dcterms:created xsi:type="dcterms:W3CDTF">2015-09-14T12:54:00Z</dcterms:created>
  <dcterms:modified xsi:type="dcterms:W3CDTF">2015-09-14T12:54:00Z</dcterms:modified>
</cp:coreProperties>
</file>